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Orchestrating the Critical Resource Loop</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Leveraging Digital Product Passports and Industrial AI to Enable Closed-Loop Material Systems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vertAlign w:val="superscript"/>
        </w:rPr>
      </w:pPr>
      <w:commentRangeStart w:id="0"/>
      <w:r w:rsidDel="00000000" w:rsidR="00000000" w:rsidRPr="00000000">
        <w:rPr>
          <w:rFonts w:ascii="Avenir" w:cs="Avenir" w:eastAsia="Avenir" w:hAnsi="Avenir"/>
          <w:color w:val="3c3f42"/>
          <w:sz w:val="15"/>
          <w:szCs w:val="15"/>
          <w:rtl w:val="0"/>
        </w:rPr>
        <w:t xml:space="preserve">Industrial AI is increasing the demand for critical raw materials while making them harder to recover at the end of their lifecycle [1]. Europe remains heavily dependent on imports, even as products become more complex and more reliant on rare earth elements, while current recycling systems still recover mainly what is easy to identify and economically beneficial [2-4]. Despite an established legal framework for collection, a large share of end-of-life value is still not recovered in practice [5]. Building that layer requires better traceability and product-level data, which frameworks such as the Digital Product Passport (DPP) are now starting to require across supply chains, and are supported by the product data infrastructure needed to make DPPs work at scale [6-8]. With that as a foundation, the logic of circularity can move upstream: OEMs can begin designing machinery and components not just for first use, but for longer lifecycles, remanufacturing, and second-life value capture [9-11].</w:t>
      </w:r>
      <w:r w:rsidDel="00000000" w:rsidR="00000000" w:rsidRPr="00000000">
        <w:rPr>
          <w:rFonts w:ascii="Avenir" w:cs="Avenir" w:eastAsia="Avenir" w:hAnsi="Avenir"/>
          <w:color w:val="3c3f42"/>
          <w:sz w:val="15"/>
          <w:szCs w:val="15"/>
          <w:vertAlign w:val="superscript"/>
          <w:rtl w:val="0"/>
        </w:rPr>
        <w:t xml:space="preserve">9,10,11</w:t>
      </w:r>
      <w:r w:rsidDel="00000000" w:rsidR="00000000" w:rsidRPr="00000000">
        <w:rPr>
          <w:rFonts w:ascii="Avenir" w:cs="Avenir" w:eastAsia="Avenir" w:hAnsi="Avenir"/>
          <w:color w:val="3c3f42"/>
          <w:sz w:val="15"/>
          <w:szCs w:val="15"/>
          <w:rtl w:val="0"/>
        </w:rPr>
        <w:t xml:space="preserve"> Together, this creates an opportunity space where AI not only optimizes production, but helps retain industrial value across materials, products, and lifecycles [12].</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commentRangeStart w:id="1"/>
      <w:r w:rsidDel="00000000" w:rsidR="00000000" w:rsidRPr="00000000">
        <w:rPr>
          <w:rFonts w:ascii="Avenir" w:cs="Avenir" w:eastAsia="Avenir" w:hAnsi="Avenir"/>
          <w:color w:val="3c3f42"/>
          <w:sz w:val="18"/>
          <w:szCs w:val="18"/>
          <w:rtl w:val="0"/>
        </w:rPr>
        <w:t xml:space="preserve">Quotes:</w:t>
      </w: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“Machine lifecycles in industry are super long. Hardware MVP development usually takes 3-5 years.” - Dr. Elisa Roth, Augmented Realities</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“We go into a market where we can’t sell hardware without the data” - Senior Researcher, Siemens</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"Orchestrating different materials to specific processing methods. That's where new recycling has to happen. Chemical recycling, bio-based recycling, these kinds of things." - Partner, UVC Partners</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8"/>
          <w:szCs w:val="18"/>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8"/>
          <w:szCs w:val="18"/>
          <w:rtl w:val="0"/>
        </w:rPr>
        <w:t xml:space="preserve">References:</w:t>
      </w:r>
      <w:r w:rsidDel="00000000" w:rsidR="00000000" w:rsidRPr="00000000">
        <w:rPr>
          <w:rtl w:val="0"/>
        </w:rPr>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Leal Filho W, Kotter R, Özuyar PG, Abubakar IR, Eustachio JHPP, Matandirotya NR. Understanding rare earth elements as critical raw materials. Sustainability. 2023;15(3):1919. doi:10.3390/su15031919</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Fujita Y, McCall SK, Ginosar D. Recycling rare earths: perspectives and recent advances. MRS Bull. 2022;47(3):283–288. doi:10.1557/s43577-022-00301-w</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Danouche M, Bounaga A, Oulkhir A, Boulif R, Zeroual Y, Benhida R, Lyamlouli K. Advances in bio/chemical approaches for sustainable recycling and recovery of rare earth elements from secondary resources. Sci Total Environ. 2023;168811. doi:10.1016/j.scitotenv.2023.168811</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Perrin MA, Dutheil P, Wörle M, Mougel V. Recovery of europium from E-waste using redox active tetrathiotungstate ligands. Nat Commun. 2024;15:4577. doi:10.1038/s41467-024-48923-3</w:t>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Eurostat. Waste statistics - electrical and electronic equipment. Eurostat Statistics Explained. Published October 2025. Accessed March 19, 2026. https://ec.europa.eu/eurostat/statistics-explained/index.php?title=Waste_statistics_-_electrical_and_electronic_equipment</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Zhang Z, Gu J, Li R, Lian W, Ma C, Tian J. Bridging digital and green transitions: a literature review of digital product passport systems. Renew Sustain Energy Rev. 2026;228:116600. doi:10.1016/j.rser.2025.116600</w:t>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Lopes C, Barata J. Digital product passport: a review and research agenda. Procedia Comput Sci. 2024;246:981-990. doi:10.1016/j.procs.2024.09.517</w:t>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Zhang A, Seuring S. Digital product passport for sustainable and circular supply chain management: a structured review of use cases. Int J Logist Res Appl. 2024;27(12):2513-2540. doi:10.1080/13675567.2024.2374256</w:t>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Arnold M, Palomäki K, Le Blévennec K, Koop C, Geerken T. Contribution of remanufacturing to circular economy. Eionet Report ETC/WMGE. 2021. Accessed March 18, 2026. https://www.eionet.europa.eu/etcs/etc-wmge/products/etc-wmge-reports/contribution-of-remanufacturing-to-circular-economy/@@download/file</w:t>
      </w:r>
    </w:p>
    <w:p w:rsidR="00000000" w:rsidDel="00000000" w:rsidP="00000000" w:rsidRDefault="00000000" w:rsidRPr="00000000" w14:paraId="0000001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Boorsma R, Sobek DK II, Bakker C, Balkenende R. Incorporating design for remanufacturing in the early design stage: a case study of a car door module. Res Eng Des. 2021;32(6):609-628. doi:10.1007/s00163-021-00362-0</w:t>
      </w:r>
    </w:p>
    <w:p w:rsidR="00000000" w:rsidDel="00000000" w:rsidP="00000000" w:rsidRDefault="00000000" w:rsidRPr="00000000" w14:paraId="0000001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McKinsey &amp; Company. Why aftermarket and service are vital to OEMs and how to excel. McKinsey &amp; Company. Accessed March 18, 2026. </w:t>
      </w:r>
      <w:hyperlink r:id="rId7">
        <w:r w:rsidDel="00000000" w:rsidR="00000000" w:rsidRPr="00000000">
          <w:rPr>
            <w:rFonts w:ascii="Avenir" w:cs="Avenir" w:eastAsia="Avenir" w:hAnsi="Avenir"/>
            <w:color w:val="3c3f42"/>
            <w:sz w:val="15"/>
            <w:szCs w:val="15"/>
            <w:rtl w:val="0"/>
          </w:rPr>
          <w:t xml:space="preserve">https://www.mckinsey.com/~/media/mckinsey/industries/advanced%20electronics/our%20insights/why%20aftermarket%20and%20service%20are%20vital%20to%20oems%20and%20how%20to%20excel/why-aftermarket-and-service-are-vital-to-oems-and-how-to-excel-vf.pd</w:t>
        </w:r>
      </w:hyperlink>
      <w:r w:rsidDel="00000000" w:rsidR="00000000" w:rsidRPr="00000000">
        <w:rPr>
          <w:rFonts w:ascii="Avenir" w:cs="Avenir" w:eastAsia="Avenir" w:hAnsi="Avenir"/>
          <w:color w:val="3c3f42"/>
          <w:sz w:val="15"/>
          <w:szCs w:val="15"/>
          <w:rtl w:val="0"/>
        </w:rPr>
        <w:t xml:space="preserve">f</w:t>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Bustinza OF, Molina LM, Vendrell-Herrero F, Opazo-Basáez M. AI-enabled smart manufacturing boosts ecosystem value capture: The importance of servitization pathways within digital-intensive industries. Int J Prod Econ. 2024;277:109411. doi:10.1016/j.ijpe.2024.109411</w:t>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ophia Schraml" w:id="0" w:date="2026-03-28T14:01:55Z">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too short</w:t>
      </w:r>
    </w:p>
  </w:comment>
  <w:comment w:author="Sophia Schraml" w:id="1" w:date="2026-03-28T14:02:02Z">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choose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mckinsey.com/~/media/mckinsey/industries/advanced%20electronics/our%20insights/why%20aftermarket%20and%20service%20are%20vital%20to%20oems%20and%20how%20to%20excel/why-aftermarket-and-service-are-vital-to-oems-and-how-to-excel-vf.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